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0C" w:rsidRDefault="0032750C" w:rsidP="003275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50C" w:rsidRDefault="0032750C" w:rsidP="003275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2750C" w:rsidRDefault="0032750C" w:rsidP="003275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66644">
        <w:rPr>
          <w:rFonts w:ascii="Times New Roman" w:eastAsia="Calibri" w:hAnsi="Times New Roman" w:cs="Times New Roman"/>
          <w:b/>
          <w:sz w:val="28"/>
          <w:szCs w:val="28"/>
        </w:rPr>
        <w:t>Оценка качества финансового менеджмента</w:t>
      </w:r>
    </w:p>
    <w:p w:rsidR="0032750C" w:rsidRPr="0032750C" w:rsidRDefault="0032750C" w:rsidP="0032750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50C">
        <w:rPr>
          <w:rFonts w:ascii="Times New Roman" w:eastAsia="Calibri" w:hAnsi="Times New Roman" w:cs="Times New Roman"/>
          <w:b/>
          <w:sz w:val="28"/>
          <w:szCs w:val="28"/>
        </w:rPr>
        <w:t>2022 ГОД</w:t>
      </w:r>
    </w:p>
    <w:p w:rsidR="0032750C" w:rsidRPr="00792355" w:rsidRDefault="0032750C" w:rsidP="0032750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C53F9">
        <w:rPr>
          <w:rFonts w:ascii="Times New Roman" w:eastAsia="Times New Roman" w:hAnsi="Times New Roman" w:cs="Times New Roman"/>
          <w:sz w:val="28"/>
          <w:szCs w:val="28"/>
        </w:rPr>
        <w:t xml:space="preserve">главного распорядителя средств бюджета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Pr="001C53F9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района, главного администратора дохода бюджета Администрации муниципального образования </w:t>
      </w:r>
      <w:r w:rsidRPr="006C6FA4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Pr="001C53F9">
        <w:rPr>
          <w:rFonts w:ascii="Times New Roman" w:eastAsia="Times New Roman" w:hAnsi="Times New Roman" w:cs="Times New Roman"/>
          <w:sz w:val="28"/>
          <w:szCs w:val="28"/>
        </w:rPr>
        <w:t xml:space="preserve"> сельсовет Курманаевского района, главного администратора </w:t>
      </w:r>
      <w:proofErr w:type="gramStart"/>
      <w:r w:rsidRPr="001C53F9">
        <w:rPr>
          <w:rFonts w:ascii="Times New Roman" w:eastAsia="Times New Roman" w:hAnsi="Times New Roman" w:cs="Times New Roman"/>
          <w:sz w:val="28"/>
          <w:szCs w:val="28"/>
        </w:rPr>
        <w:t>источников финансирования дефицита бюджета Администрации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C6FA4">
        <w:rPr>
          <w:rFonts w:ascii="Times New Roman" w:eastAsia="Times New Roman" w:hAnsi="Times New Roman" w:cs="Times New Roman"/>
          <w:sz w:val="28"/>
          <w:szCs w:val="28"/>
        </w:rPr>
        <w:t>Лабазинский</w:t>
      </w:r>
      <w:r w:rsidRPr="001C53F9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Курманаевского района</w:t>
      </w:r>
    </w:p>
    <w:tbl>
      <w:tblPr>
        <w:tblStyle w:val="a3"/>
        <w:tblpPr w:leftFromText="180" w:rightFromText="180" w:vertAnchor="page" w:horzAnchor="margin" w:tblpY="3841"/>
        <w:tblW w:w="14976" w:type="dxa"/>
        <w:tblLook w:val="04A0"/>
      </w:tblPr>
      <w:tblGrid>
        <w:gridCol w:w="1076"/>
        <w:gridCol w:w="3710"/>
        <w:gridCol w:w="1544"/>
        <w:gridCol w:w="8646"/>
      </w:tblGrid>
      <w:tr w:rsidR="0032750C" w:rsidRPr="001C53F9" w:rsidTr="007C4F80">
        <w:tc>
          <w:tcPr>
            <w:tcW w:w="1076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(баллы)</w:t>
            </w:r>
          </w:p>
        </w:tc>
        <w:tc>
          <w:tcPr>
            <w:tcW w:w="8646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70338">
              <w:rPr>
                <w:rFonts w:ascii="Times New Roman" w:eastAsia="Calibri" w:hAnsi="Times New Roman" w:cs="Times New Roman"/>
                <w:sz w:val="24"/>
                <w:szCs w:val="28"/>
              </w:rPr>
              <w:t>Расчет показателя</w:t>
            </w:r>
          </w:p>
        </w:tc>
      </w:tr>
      <w:tr w:rsidR="0032750C" w:rsidRPr="001C53F9" w:rsidTr="007C4F80">
        <w:tc>
          <w:tcPr>
            <w:tcW w:w="14976" w:type="dxa"/>
            <w:gridSpan w:val="4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Показатели, характеризующие качество управления расходами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Pr="001C53F9" w:rsidRDefault="0032750C" w:rsidP="007C4F80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правового акта, регулирующего внутренние процедуры подготовки бюджетных проектировок на очередной финансовый год и плановый период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А, где: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наличие правового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акта главного распорядителя средств бюджета </w:t>
            </w:r>
            <w:r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Лабазинск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сельсовета Курманаевского района, главного администратора дохода бюджета </w:t>
            </w:r>
            <w:r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Лабазинск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Курманаевского района, главного администратора источников финансирования дефицита бюджета</w:t>
            </w:r>
            <w:r w:rsidRPr="000306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Лабазинск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E6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 Курманаевского района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– главный администратор средств местного бюджета), регулирующего внутренние процедуры подготовки бюджетных проектировок на очередной финансовый год и плановый период, а также включение в данный документ разделов, регламентирующих:</w:t>
            </w:r>
            <w:proofErr w:type="gramEnd"/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P105"/>
            <w:bookmarkEnd w:id="0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подготовку реестра расходных обязательств главного администратора средств местного бюджета (далее 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–Г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АБС);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подготовку обоснований бюджетных ассигнований;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P108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наличие методики прогнозирования поступлений доходов в бюджет</w:t>
            </w:r>
          </w:p>
        </w:tc>
      </w:tr>
      <w:tr w:rsidR="0032750C" w:rsidRPr="001C53F9" w:rsidTr="007C4F80">
        <w:trPr>
          <w:trHeight w:val="130"/>
        </w:trPr>
        <w:tc>
          <w:tcPr>
            <w:tcW w:w="1076" w:type="dxa"/>
          </w:tcPr>
          <w:p w:rsidR="0032750C" w:rsidRPr="001C53F9" w:rsidRDefault="0032750C" w:rsidP="007C4F80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 правового акта об организации внутреннего финансового аудита (контроля)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А, где: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 наличие правового акта ГАБС, обеспечивающего: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P137"/>
            <w:bookmarkEnd w:id="2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создание подразделения внутреннего финансового аудита (контроля);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независимость работы подразделения внутреннего финансового аудита (контроля) от работы других подразделений ГАБС;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 наличие процедур и порядка осуществления внутреннего финансового аудита (контроля)</w:t>
            </w:r>
          </w:p>
          <w:p w:rsidR="0032750C" w:rsidRPr="00000996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 w:rsidR="00A6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03.09.2018 № 57-р</w:t>
            </w:r>
            <w:proofErr w:type="gramStart"/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б утверждении положений об </w:t>
            </w:r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lastRenderedPageBreak/>
              <w:t>осуществлению внутреннего финансового контроля и внутреннего финансового аудита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Распоряжение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14.07.2021 </w:t>
            </w: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Pr="00000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Start"/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б 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упрощенном</w:t>
            </w:r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осуществлени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>и</w:t>
            </w:r>
            <w:r w:rsidRPr="00000996"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внутреннего финансового аудита</w:t>
            </w:r>
            <w:r>
              <w:rPr>
                <w:rFonts w:ascii="Times New Roman" w:eastAsia="Times New Roman" w:hAnsi="Times New Roman" w:cs="Times New Roman"/>
                <w:color w:val="1E1E1E"/>
                <w:sz w:val="24"/>
                <w:szCs w:val="24"/>
                <w:lang w:eastAsia="ru-RU"/>
              </w:rPr>
              <w:t xml:space="preserve"> в администрации МО Лабазинский сельсовет Курманаевского района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Pr="001C53F9" w:rsidRDefault="0032750C" w:rsidP="007C4F80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расходов, осуществляемых в соответствии с муниципальными программами, в общем объеме расходов ГАБС</w:t>
            </w:r>
          </w:p>
        </w:tc>
        <w:tc>
          <w:tcPr>
            <w:tcW w:w="1544" w:type="dxa"/>
          </w:tcPr>
          <w:p w:rsidR="0032750C" w:rsidRPr="001C53F9" w:rsidRDefault="002114F1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 / В*100, где: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объем расходов ГАБС в отчетном финансовом году, осуществленных в рамках муниципальных программ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A662AF">
              <w:t xml:space="preserve"> </w:t>
            </w:r>
            <w:r w:rsidR="00A6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15756,182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="00A6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(Ф.0503117 «Отчет об исполнении бюджета» за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6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год);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объем расходов ГАБС в отчетном финансовом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A662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15917,403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уб. 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(Ф.0503117 «Отчет об исполнении бюджета» за 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A662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год).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0C" w:rsidRPr="007338E5" w:rsidRDefault="0032750C" w:rsidP="007338E5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3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73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7338E5" w:rsidRPr="0073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15756,182 </w:t>
            </w:r>
            <w:r w:rsidRPr="0073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Pr="007338E5">
              <w:rPr>
                <w:b/>
              </w:rPr>
              <w:t xml:space="preserve"> </w:t>
            </w:r>
            <w:r w:rsidR="007338E5" w:rsidRPr="0073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15917,403 </w:t>
            </w:r>
            <w:r w:rsidRPr="0073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</w:t>
            </w:r>
            <w:r w:rsidR="0073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  <w:r w:rsidRPr="007338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Pr="001C53F9" w:rsidRDefault="0032750C" w:rsidP="007C4F80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Равномерность расходов ГАБС в течение отчетного года</w:t>
            </w:r>
          </w:p>
          <w:p w:rsidR="0032750C" w:rsidRPr="001C53F9" w:rsidRDefault="0032750C" w:rsidP="007C4F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</w:tcPr>
          <w:p w:rsidR="0032750C" w:rsidRPr="001C53F9" w:rsidRDefault="000D1B9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=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/ (1.1*(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+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) / 3) </w:t>
            </w:r>
            <w:r w:rsidRPr="000E5C58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100,где:</w:t>
            </w:r>
          </w:p>
          <w:p w:rsidR="0032750C" w:rsidRDefault="0032750C" w:rsidP="007C4F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1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2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3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A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vertAlign w:val="subscript"/>
                <w:lang w:eastAsia="ru-RU"/>
              </w:rPr>
              <w:t>4</w:t>
            </w:r>
            <w:r w:rsidRPr="000E5C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объем расходов ГАБС в первом, втором, третьем и четвертом кварталах отчетного финансового года соответственно (без учета субсидий, субвенций и иных межбюджетных трансфертов, имеющих целевое назначение, поступивших из других бюджетов бюджетной системы)</w:t>
            </w:r>
          </w:p>
          <w:p w:rsidR="0032750C" w:rsidRPr="00B7072C" w:rsidRDefault="0032750C" w:rsidP="007C4F8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7072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 – </w:t>
            </w:r>
            <w:r w:rsidR="000F6CE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3932209</w:t>
            </w:r>
            <w:proofErr w:type="gramStart"/>
            <w:r w:rsidR="000F6CE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,82</w:t>
            </w:r>
            <w:proofErr w:type="gramEnd"/>
            <w:r w:rsidR="000F6CE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руб. (объем расходов за 1 квартал 202</w:t>
            </w:r>
            <w:r w:rsidR="00B7072C"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г)</w:t>
            </w:r>
            <w:r w:rsidRPr="00B7072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707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Ф.0503117</w:t>
            </w:r>
          </w:p>
          <w:p w:rsidR="0032750C" w:rsidRPr="00B7072C" w:rsidRDefault="0032750C" w:rsidP="007C4F8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7072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2 – </w:t>
            </w:r>
            <w:r w:rsidRPr="00B7072C">
              <w:rPr>
                <w:sz w:val="28"/>
                <w:szCs w:val="28"/>
              </w:rPr>
              <w:t xml:space="preserve"> </w:t>
            </w:r>
            <w:r w:rsidR="00F94751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8363738,23 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руб.(объем расходов за 2 квартал 202</w:t>
            </w:r>
            <w:r w:rsidR="00B7072C"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г)</w:t>
            </w:r>
          </w:p>
          <w:p w:rsidR="0032750C" w:rsidRPr="00B7072C" w:rsidRDefault="0032750C" w:rsidP="007C4F8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7072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3 – </w:t>
            </w:r>
            <w:r w:rsidRPr="00B7072C">
              <w:rPr>
                <w:sz w:val="28"/>
                <w:szCs w:val="28"/>
              </w:rPr>
              <w:t xml:space="preserve"> </w:t>
            </w:r>
            <w:r w:rsidR="00F94751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11994294,61</w:t>
            </w:r>
            <w:r w:rsidR="009B2DE9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руб.(объем расходов за 3 квартал 202</w:t>
            </w:r>
            <w:r w:rsidR="00B7072C"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г)</w:t>
            </w:r>
          </w:p>
          <w:p w:rsidR="0032750C" w:rsidRPr="00B7072C" w:rsidRDefault="0032750C" w:rsidP="007C4F80">
            <w:pPr>
              <w:jc w:val="both"/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</w:pPr>
            <w:r w:rsidRPr="00B7072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4 – </w:t>
            </w:r>
            <w:r w:rsidRPr="00B7072C">
              <w:rPr>
                <w:sz w:val="28"/>
                <w:szCs w:val="28"/>
              </w:rPr>
              <w:t xml:space="preserve"> </w:t>
            </w:r>
            <w:r w:rsidR="009E482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15</w:t>
            </w:r>
            <w:r w:rsidR="00136B1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639</w:t>
            </w:r>
            <w:r w:rsidR="009E482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4</w:t>
            </w:r>
            <w:r w:rsidR="00136B1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02,67</w:t>
            </w:r>
            <w:r w:rsidR="009E4822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руб.(объем расходов за 4 квартал 202</w:t>
            </w:r>
            <w:r w:rsidR="00B7072C"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>2г)</w:t>
            </w:r>
          </w:p>
          <w:p w:rsidR="0032750C" w:rsidRPr="001672A3" w:rsidRDefault="0032750C" w:rsidP="00701B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  <w:lang w:eastAsia="ru-RU"/>
              </w:rPr>
            </w:pPr>
            <w:proofErr w:type="gramStart"/>
            <w:r w:rsidRPr="00B7072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Р</w:t>
            </w:r>
            <w:proofErr w:type="gramEnd"/>
            <w:r w:rsidRPr="00B7072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=</w:t>
            </w:r>
            <w:r w:rsidRPr="00B7072C">
              <w:rPr>
                <w:sz w:val="28"/>
                <w:szCs w:val="28"/>
              </w:rPr>
              <w:t xml:space="preserve"> </w:t>
            </w:r>
            <w:r w:rsidR="00136B1A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15639402,67 </w:t>
            </w:r>
            <w:r w:rsidRPr="00B7072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/(1,1*(</w:t>
            </w:r>
            <w:r w:rsidR="00F94751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11994294,61 </w:t>
            </w:r>
            <w:r w:rsidRPr="00B7072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+</w:t>
            </w:r>
            <w:r w:rsidRPr="00B7072C">
              <w:rPr>
                <w:sz w:val="28"/>
                <w:szCs w:val="28"/>
              </w:rPr>
              <w:t xml:space="preserve"> </w:t>
            </w:r>
            <w:r w:rsidR="00E4173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8363738,23 </w:t>
            </w:r>
            <w:r w:rsidR="00E41735" w:rsidRPr="00B7072C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 </w:t>
            </w:r>
            <w:r w:rsidRPr="00B7072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+</w:t>
            </w:r>
            <w:r w:rsidRPr="00B7072C">
              <w:rPr>
                <w:sz w:val="28"/>
                <w:szCs w:val="28"/>
              </w:rPr>
              <w:t xml:space="preserve"> </w:t>
            </w:r>
            <w:r w:rsidR="00E41735">
              <w:rPr>
                <w:rFonts w:ascii="Times New Roman" w:hAnsi="Times New Roman" w:cs="Times New Roman"/>
                <w:sz w:val="28"/>
                <w:szCs w:val="28"/>
                <w:vertAlign w:val="subscript"/>
                <w:lang w:eastAsia="ru-RU"/>
              </w:rPr>
              <w:t xml:space="preserve">3932209,82 </w:t>
            </w:r>
            <w:r w:rsidRPr="00B7072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)/3)*100=</w:t>
            </w:r>
            <w:r w:rsidR="00701B0C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  <w:lang w:eastAsia="ru-RU"/>
              </w:rPr>
              <w:t>175,6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Pr="001C53F9" w:rsidRDefault="0032750C" w:rsidP="007C4F80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Эффективность управления кредиторской задолженностью по расходам 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кредиторской задолженности по расходам ГАБС по состоянию на 1 января года, следующего за отчетным годом</w:t>
            </w:r>
          </w:p>
          <w:p w:rsidR="0032750C" w:rsidRPr="000C17A4" w:rsidRDefault="0032750C" w:rsidP="000D1B9C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 по расходам на 01.01.202</w:t>
            </w:r>
            <w:r w:rsidR="000D1B9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</w:t>
            </w:r>
            <w:proofErr w:type="gramStart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.с</w:t>
            </w:r>
            <w:proofErr w:type="gramEnd"/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оставляет 0 руб.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Pr="001C53F9" w:rsidRDefault="0032750C" w:rsidP="007C4F80">
            <w:pPr>
              <w:tabs>
                <w:tab w:val="left" w:pos="8273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кредиторской задолженностью по расчетам по оплате труда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кредиторской задолженности ГАБС по расчетам по оплате труда по состоянию на 1 января года, следующего за отчетным годом</w:t>
            </w:r>
          </w:p>
          <w:p w:rsidR="0032750C" w:rsidRPr="000E5C58" w:rsidRDefault="0032750C" w:rsidP="004056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кредиторская задолженность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по расчетам по оплате труда на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lastRenderedPageBreak/>
              <w:t>01.01.202</w:t>
            </w:r>
            <w:r w:rsidR="004056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 составляет 0руб.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дебиторской задолженностью по расходам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дебиторской задолженности по расходам ГАБС по состоянию на 1 января года, следующего за отчетным годом</w:t>
            </w:r>
          </w:p>
          <w:p w:rsidR="0032750C" w:rsidRPr="000C17A4" w:rsidRDefault="0032750C" w:rsidP="0040565B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дебиторская задолженность по расходам на 01.01.202</w:t>
            </w:r>
            <w:r w:rsidR="004056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3 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г.</w:t>
            </w:r>
            <w:r w:rsidR="0040565B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0C17A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составляет 0руб.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суммы бюджетных ассигнований, изменения по которым внесены в сводную бюджетную роспись местного бюджета, в общем объеме бюджетных ассигнований, предусмотренных ГАБС на отчетный финансовый год</w:t>
            </w:r>
          </w:p>
        </w:tc>
        <w:tc>
          <w:tcPr>
            <w:tcW w:w="1544" w:type="dxa"/>
          </w:tcPr>
          <w:p w:rsidR="0032750C" w:rsidRPr="001C53F9" w:rsidRDefault="00525C62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В * 100, где:   </w:t>
            </w:r>
          </w:p>
          <w:p w:rsidR="0032750C" w:rsidRPr="00957DED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сумма положительных и отрицательных (по модулю) изменений, внесенных ГАБС в сводную бюджетную роспись местного бюджета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4056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,7 </w:t>
            </w:r>
            <w:r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57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уб.</w:t>
            </w:r>
            <w:r w:rsidRPr="00957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– общий объем бюджетных ассигнований, предусмотренных ГАБС на отчетный финансовый год (без учета безвозмездных поступлений)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составляет </w:t>
            </w:r>
            <w:r w:rsidR="00405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10457,4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расчете значения индикатора учитываются изменения в сводную бюджетную роспись, осуществляемые по следующим основаниям: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 между текущим финансовым годом и плановым периодом в пределах предусмотренного законом о бюджете общего объема бюджетных ассигнований главному распорядителю бюджетных средств на оказание муниципальных услуг на соответствующий финансовый год; 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изменения, вносимые в связи с перераспределением бюджетных ассигнований, предусмотренных главному распорядителю средств местного бюджета, связанных с изменениями бюджетной классификации, а также между видами расходов в пределах общего объема бюджетных ассигнований по целевой статье расходов </w:t>
            </w:r>
            <w:hyperlink r:id="rId4" w:history="1">
              <w:r w:rsidRPr="000E5C58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классификации</w:t>
              </w:r>
            </w:hyperlink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расходов бюджетов с последующим внесением изменений в закон о бюджете;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услуг;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изменения, вносимые в связи с перераспределением бюджетных ассигнований ГАБС по разделам, подразделам, целевым статьям и видам расходов бюджета в целях исполнения обязательств местного бюджета;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изменения, вносимые в связи с перераспределением бюджетных ассигнований, предусмотренных ГАБС, между видами расходов в пределах общего объема бюджетных ассигнований по целевой статье расходов классификации расходов бюджетов в целях исполнения обязательств местного бюджета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750C" w:rsidRPr="00525C62" w:rsidRDefault="0032750C" w:rsidP="00525C62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52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52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 w:rsidR="00525C62" w:rsidRPr="00525C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526,7 </w:t>
            </w:r>
            <w:r w:rsidRPr="0052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 w:rsidR="00525C62" w:rsidRPr="0052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10457,4</w:t>
            </w:r>
            <w:r w:rsidRPr="0052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</w:t>
            </w:r>
            <w:r w:rsidR="0052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525C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32750C" w:rsidRPr="001C53F9" w:rsidTr="007C4F80">
        <w:tc>
          <w:tcPr>
            <w:tcW w:w="14976" w:type="dxa"/>
            <w:gridSpan w:val="4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 Показатели, характеризующие качество управления доходами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по налоговым и неналоговым доходам</w:t>
            </w:r>
          </w:p>
        </w:tc>
        <w:tc>
          <w:tcPr>
            <w:tcW w:w="1544" w:type="dxa"/>
          </w:tcPr>
          <w:p w:rsidR="0032750C" w:rsidRPr="001C53F9" w:rsidRDefault="004368F1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 / В*100, где: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фактическое поступление налоговых и неналоговых доходов в местный бюджет по ГАБС в отчетном финансовом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4368F1" w:rsidRPr="004368F1">
              <w:rPr>
                <w:rFonts w:ascii="Times New Roman" w:hAnsi="Times New Roman" w:cs="Times New Roman"/>
                <w:sz w:val="24"/>
                <w:szCs w:val="24"/>
              </w:rPr>
              <w:t>9742,680</w:t>
            </w:r>
            <w:r w:rsidR="00436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тыс</w:t>
            </w:r>
            <w:proofErr w:type="gramStart"/>
            <w:r w:rsidR="00436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 w:rsidR="00436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– уточненный план по налоговым и неналоговым доходам, заявленный ГАБС в отчетном финансовом году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составляет </w:t>
            </w:r>
            <w:r w:rsidR="00436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10262,990 тыс</w:t>
            </w:r>
            <w:proofErr w:type="gramStart"/>
            <w:r w:rsidR="004368F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уб.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2750C" w:rsidRPr="004368F1" w:rsidRDefault="0032750C" w:rsidP="004368F1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4368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4368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=</w:t>
            </w:r>
            <w:r w:rsidR="004368F1" w:rsidRPr="004368F1">
              <w:rPr>
                <w:rFonts w:ascii="Times New Roman" w:hAnsi="Times New Roman" w:cs="Times New Roman"/>
                <w:b/>
                <w:sz w:val="24"/>
                <w:szCs w:val="24"/>
              </w:rPr>
              <w:t>9742,680</w:t>
            </w:r>
            <w:r w:rsidRPr="004368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/</w:t>
            </w:r>
            <w:r w:rsidR="004368F1" w:rsidRPr="004368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10262,990 </w:t>
            </w:r>
            <w:r w:rsidRPr="004368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*100=</w:t>
            </w:r>
            <w:r w:rsidR="004368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95</w:t>
            </w:r>
            <w:r w:rsidRPr="004368F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%</w:t>
            </w:r>
          </w:p>
        </w:tc>
      </w:tr>
      <w:tr w:rsidR="0032750C" w:rsidRPr="001C53F9" w:rsidTr="007C4F80">
        <w:trPr>
          <w:trHeight w:val="2160"/>
        </w:trPr>
        <w:tc>
          <w:tcPr>
            <w:tcW w:w="1076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включения налоговых расходов в муниципальные программы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 / В*100, где: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налоговых расходов ГАБС, включенный в муниципальные программы в отчетном финансовом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87,00 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</w:p>
          <w:p w:rsidR="0032750C" w:rsidRPr="00AD3A9A" w:rsidRDefault="0032750C" w:rsidP="007C4F80">
            <w:pPr>
              <w:pStyle w:val="a4"/>
              <w:jc w:val="both"/>
              <w:rPr>
                <w:rFonts w:eastAsia="Times New Roman"/>
                <w:color w:val="000000"/>
                <w:lang w:eastAsia="ru-RU"/>
              </w:rPr>
            </w:pPr>
            <w:r w:rsidRPr="000E5C58">
              <w:rPr>
                <w:rFonts w:eastAsia="Times New Roman"/>
                <w:color w:val="000000" w:themeColor="text1"/>
                <w:lang w:eastAsia="ru-RU"/>
              </w:rPr>
              <w:t>В – общий объем налоговых расходов ГАБС</w:t>
            </w:r>
            <w:r>
              <w:rPr>
                <w:rFonts w:eastAsia="Times New Roman"/>
                <w:color w:val="000000" w:themeColor="text1"/>
                <w:lang w:eastAsia="ru-RU"/>
              </w:rPr>
              <w:t xml:space="preserve"> составляет 87,00 тыс</w:t>
            </w:r>
            <w:proofErr w:type="gramStart"/>
            <w:r>
              <w:rPr>
                <w:rFonts w:eastAsia="Times New Roman"/>
                <w:color w:val="000000" w:themeColor="text1"/>
                <w:lang w:eastAsia="ru-RU"/>
              </w:rPr>
              <w:t>.р</w:t>
            </w:r>
            <w:proofErr w:type="gramEnd"/>
            <w:r>
              <w:rPr>
                <w:rFonts w:eastAsia="Times New Roman"/>
                <w:color w:val="000000" w:themeColor="text1"/>
                <w:lang w:eastAsia="ru-RU"/>
              </w:rPr>
              <w:t>уб (</w:t>
            </w:r>
            <w:r w:rsidRPr="00AD3A9A">
              <w:rPr>
                <w:rFonts w:eastAsia="Times New Roman"/>
                <w:color w:val="000000"/>
                <w:lang w:eastAsia="ru-RU"/>
              </w:rPr>
              <w:t>Приложение № 3 к муниципальной программе «Устойчивое развитие территории муниципального образования Лабазинский сельсовет Курманаевского района Оренбургской области на 2019-2024 годы»</w:t>
            </w:r>
            <w:r w:rsidRPr="00AD3A9A">
              <w:rPr>
                <w:rFonts w:eastAsia="Times New Roman"/>
                <w:lang w:eastAsia="ru-RU"/>
              </w:rPr>
              <w:t>)</w:t>
            </w:r>
          </w:p>
          <w:p w:rsidR="0032750C" w:rsidRPr="00921ECC" w:rsidRDefault="0032750C" w:rsidP="007C4F8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  <w:p w:rsidR="0032750C" w:rsidRPr="002C1B6E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2C1B6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=100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управления дебиторской задолженностью по доходам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А, где: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объем просроченной дебиторской задолженности по доходам ГАБС по состоянию на 1 января года, следующего за отчетным годом</w:t>
            </w:r>
          </w:p>
          <w:p w:rsidR="0032750C" w:rsidRPr="00921EC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21EC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Просроченная дебиторская задолженность по доходам составляет 0руб.</w:t>
            </w:r>
          </w:p>
        </w:tc>
      </w:tr>
      <w:tr w:rsidR="0032750C" w:rsidRPr="001C53F9" w:rsidTr="007C4F80">
        <w:tc>
          <w:tcPr>
            <w:tcW w:w="14976" w:type="dxa"/>
            <w:gridSpan w:val="4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Показатели, характеризующие раскрытие информации в сети Интернет</w:t>
            </w:r>
          </w:p>
        </w:tc>
      </w:tr>
      <w:tr w:rsidR="0032750C" w:rsidRPr="001C53F9" w:rsidTr="007C4F80">
        <w:trPr>
          <w:trHeight w:val="555"/>
        </w:trPr>
        <w:tc>
          <w:tcPr>
            <w:tcW w:w="1076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Раскрытие информации о реализуемых муниципальных программах</w:t>
            </w:r>
          </w:p>
        </w:tc>
        <w:tc>
          <w:tcPr>
            <w:tcW w:w="1544" w:type="dxa"/>
          </w:tcPr>
          <w:p w:rsidR="0032750C" w:rsidRPr="001C53F9" w:rsidRDefault="00215899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46" w:type="dxa"/>
          </w:tcPr>
          <w:p w:rsidR="0032750C" w:rsidRPr="00876676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P</w:t>
            </w:r>
            <w:r w:rsidRPr="008766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= А / В*100, где:</w:t>
            </w:r>
          </w:p>
          <w:p w:rsidR="0032750C" w:rsidRPr="00876676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количество муниципальных программ, размещенных на сайте ГАБС в информационно-телекоммуникацион-ной сети «Интернет» (далее – сеть Интернет), по которым ГАБС является ответственным исполнителем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2750C" w:rsidRPr="00876676" w:rsidRDefault="0032750C" w:rsidP="007C4F80">
            <w:pPr>
              <w:tabs>
                <w:tab w:val="left" w:pos="4536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– количество муниципальных программ, по которым ГАБС является 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ответственным исполнителем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Муниципальная программа </w:t>
            </w:r>
            <w:r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«Устойчивое развитие территории муниципального образования Лабазинский сельсовет Курманаевского района Оренбургской области на 2019-2024 год» 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от </w:t>
            </w:r>
            <w:r w:rsidRPr="008766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25.12.2018 № 82-п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; </w:t>
            </w:r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«Формирование комфортной городской среды муниципального образования Лабазинский сельсовет Курманаевского района Оренбургской области на 2018 - 2022 годы</w:t>
            </w:r>
            <w:proofErr w:type="gramStart"/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</w:rPr>
              <w:t>»п</w:t>
            </w:r>
            <w:proofErr w:type="gramEnd"/>
            <w:r w:rsidRPr="00876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Pr="00876676">
              <w:rPr>
                <w:bCs/>
                <w:sz w:val="24"/>
                <w:szCs w:val="24"/>
              </w:rPr>
              <w:t>23.04.2019 № 24-п</w:t>
            </w:r>
          </w:p>
          <w:p w:rsidR="0032750C" w:rsidRPr="00921ECC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gramStart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*100=100</w:t>
            </w:r>
          </w:p>
        </w:tc>
      </w:tr>
      <w:tr w:rsidR="0032750C" w:rsidRPr="001C53F9" w:rsidTr="007C4F80">
        <w:tc>
          <w:tcPr>
            <w:tcW w:w="14976" w:type="dxa"/>
            <w:gridSpan w:val="4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 Показатели, характеризующие контроль и учет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Default="0032750C" w:rsidP="007C4F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Своевременность предоставления бюджетной отчетности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А, где: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– количество месяцев в отчетном финансовом году, по которым бюджетная отчетность представлена позже установленного срока</w:t>
            </w:r>
          </w:p>
          <w:p w:rsidR="0032750C" w:rsidRPr="00921EC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921E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=0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Default="0032750C" w:rsidP="007C4F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судебных актов ГАБС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</w:t>
            </w:r>
            <w:proofErr w:type="gramStart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= А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/ В*100, где:</w:t>
            </w:r>
          </w:p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 – сумма, подлежащая взысканию по поступившим с начала финансового года исполнительным документам ГАБС за счет средств местного бюджета в отчетном финансовом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0 руб</w:t>
            </w: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 – кассовое исполнение расходов ГАБС в отчетном финансовом году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составляет </w:t>
            </w:r>
            <w:r w:rsidR="00186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15917,</w:t>
            </w:r>
            <w:r w:rsidR="00186E7F" w:rsidRPr="00186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402</w:t>
            </w:r>
            <w:r w:rsidR="00186E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тыс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уб</w:t>
            </w:r>
          </w:p>
          <w:p w:rsidR="0032750C" w:rsidRPr="00186E7F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186E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  <w:r w:rsidRPr="00186E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=0/</w:t>
            </w:r>
            <w:r w:rsidR="00186E7F" w:rsidRPr="00186E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15917,402 </w:t>
            </w:r>
            <w:r w:rsidRPr="00186E7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*100=0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Default="0032750C" w:rsidP="007C4F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710" w:type="dxa"/>
          </w:tcPr>
          <w:p w:rsidR="0032750C" w:rsidRPr="001C53F9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53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санкций органами местного самоуправления Курманаевского района, органами исполнительной власти Оренбургской области в связи с невыполнением условий соглашений, заключенных с органами местного самоуправления Курманаевского района, органами исполнительной власти Оренбургской области</w:t>
            </w:r>
          </w:p>
        </w:tc>
        <w:tc>
          <w:tcPr>
            <w:tcW w:w="1544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46" w:type="dxa"/>
          </w:tcPr>
          <w:p w:rsidR="0032750C" w:rsidRPr="000E5C58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= А, где:</w:t>
            </w:r>
          </w:p>
          <w:p w:rsidR="0032750C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– объем средств, взысканный с ГАБС, в результате применения санкций органами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местного самоуправления Курманаевского района, органами </w:t>
            </w:r>
            <w:r w:rsidRPr="000E5C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исполнительной власти Оренбургской области в связи с невыполнением условий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соглашений составляет 0руб</w:t>
            </w:r>
          </w:p>
          <w:p w:rsidR="0032750C" w:rsidRPr="00FD01E4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proofErr w:type="gramEnd"/>
            <w:r w:rsidRPr="00FD01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=0</w:t>
            </w:r>
          </w:p>
        </w:tc>
      </w:tr>
      <w:tr w:rsidR="0032750C" w:rsidRPr="001C53F9" w:rsidTr="007C4F80">
        <w:tc>
          <w:tcPr>
            <w:tcW w:w="1076" w:type="dxa"/>
          </w:tcPr>
          <w:p w:rsidR="0032750C" w:rsidRDefault="0032750C" w:rsidP="007C4F80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10" w:type="dxa"/>
          </w:tcPr>
          <w:p w:rsidR="0032750C" w:rsidRPr="00693994" w:rsidRDefault="0032750C" w:rsidP="007C4F80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9399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44" w:type="dxa"/>
          </w:tcPr>
          <w:p w:rsidR="0032750C" w:rsidRPr="00693994" w:rsidRDefault="00186E7F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59</w:t>
            </w:r>
          </w:p>
        </w:tc>
        <w:tc>
          <w:tcPr>
            <w:tcW w:w="8646" w:type="dxa"/>
          </w:tcPr>
          <w:p w:rsidR="0032750C" w:rsidRPr="001C53F9" w:rsidRDefault="0032750C" w:rsidP="007C4F80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32750C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2750C" w:rsidRPr="007D12BF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D01E4">
        <w:rPr>
          <w:rFonts w:ascii="Times New Roman" w:eastAsia="Times New Roman" w:hAnsi="Times New Roman" w:cs="Times New Roman"/>
          <w:b/>
          <w:sz w:val="28"/>
          <w:szCs w:val="28"/>
        </w:rPr>
        <w:t>Оценка качества финансового менеджмента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Администрации МО Лабазинский сельсовет </w:t>
      </w:r>
      <w:r w:rsidRPr="007D12BF">
        <w:rPr>
          <w:rFonts w:ascii="Times New Roman" w:eastAsia="Times New Roman" w:hAnsi="Times New Roman" w:cs="Times New Roman"/>
          <w:sz w:val="28"/>
          <w:szCs w:val="28"/>
        </w:rPr>
        <w:t>рассчитывается по следующей формуле:</w:t>
      </w:r>
    </w:p>
    <w:p w:rsidR="0032750C" w:rsidRPr="007D12BF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2750C" w:rsidRPr="007D12BF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oMath/>
          <w:rFonts w:ascii="Cambria Math" w:eastAsia="Times New Roman" w:hAnsi="Cambria Math" w:cs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O</m:t>
              </m:r>
            </m:e>
            <m:sub>
              <w:proofErr w:type="spellStart"/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i</m:t>
              </m:r>
              <w:proofErr w:type="spellEnd"/>
            </m:sub>
          </m:sSub>
          <m:r>
            <m:rPr>
              <m:nor/>
            </m:rPr>
            <w:rPr>
              <w:rFonts w:ascii="Times New Roman" w:eastAsia="Times New Roman" w:hAnsi="Times New Roman" w:cs="Times New Roman"/>
              <w:sz w:val="28"/>
              <w:szCs w:val="28"/>
              <w:lang w:val="en-US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="Times New Roman" w:hAnsi="Cambria Math" w:cs="Times New Roman"/>
                  <w:i/>
                  <w:sz w:val="28"/>
                  <w:szCs w:val="28"/>
                </w:rPr>
              </m:ctrlPr>
            </m:naryPr>
            <m: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j=1</m:t>
              </m:r>
            </m:sub>
            <m:sup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P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ij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×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k</m:t>
                  </m:r>
                </m:e>
                <m:sub>
                  <w:proofErr w:type="spellStart"/>
                  <m:r>
                    <m:rPr>
                      <m:nor/>
                    </m:rP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en-US"/>
                    </w:rPr>
                    <m:t>i</m:t>
                  </m:r>
                  <w:proofErr w:type="spellEnd"/>
                </m:sub>
              </m:sSub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 xml:space="preserve"> , 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</w:rPr>
                <m:t>где</m:t>
              </m:r>
              <m:r>
                <m:rPr>
                  <m:nor/>
                </m:rPr>
                <w:rPr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m:t>:</m:t>
              </m:r>
            </m:e>
          </m:nary>
        </m:oMath>
      </m:oMathPara>
    </w:p>
    <w:p w:rsidR="0032750C" w:rsidRPr="007D12BF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2750C" w:rsidRPr="007D12BF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12BF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7D12BF">
        <w:rPr>
          <w:rFonts w:ascii="Times New Roman" w:eastAsia="Times New Roman" w:hAnsi="Times New Roman" w:cs="Times New Roman"/>
          <w:sz w:val="28"/>
          <w:szCs w:val="28"/>
        </w:rPr>
        <w:t>– оценка качества ГАБС;</w:t>
      </w:r>
    </w:p>
    <w:p w:rsidR="0032750C" w:rsidRPr="007D12BF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D12BF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ij</w:t>
      </w:r>
      <w:proofErr w:type="spellEnd"/>
      <w:r w:rsidRPr="007D12BF">
        <w:rPr>
          <w:rFonts w:ascii="Times New Roman" w:eastAsia="Times New Roman" w:hAnsi="Times New Roman" w:cs="Times New Roman"/>
          <w:sz w:val="28"/>
          <w:szCs w:val="28"/>
        </w:rPr>
        <w:t xml:space="preserve">– количество баллов, полученных ГАБС по </w:t>
      </w:r>
      <w:r w:rsidRPr="007D12BF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7D12BF">
        <w:rPr>
          <w:rFonts w:ascii="Times New Roman" w:eastAsia="Times New Roman" w:hAnsi="Times New Roman" w:cs="Times New Roman"/>
          <w:sz w:val="28"/>
          <w:szCs w:val="28"/>
        </w:rPr>
        <w:t xml:space="preserve"> показателю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составило </w:t>
      </w:r>
      <w:r w:rsidR="00186E7F">
        <w:rPr>
          <w:rFonts w:ascii="Times New Roman" w:eastAsia="Times New Roman" w:hAnsi="Times New Roman" w:cs="Times New Roman"/>
          <w:sz w:val="28"/>
          <w:szCs w:val="28"/>
        </w:rPr>
        <w:t xml:space="preserve">59 </w:t>
      </w:r>
      <w:r>
        <w:rPr>
          <w:rFonts w:ascii="Times New Roman" w:eastAsia="Times New Roman" w:hAnsi="Times New Roman" w:cs="Times New Roman"/>
          <w:sz w:val="28"/>
          <w:szCs w:val="28"/>
        </w:rPr>
        <w:t>баллов</w:t>
      </w:r>
      <w:r w:rsidRPr="007D12B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2750C" w:rsidRPr="007D12BF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D12BF">
        <w:rPr>
          <w:rFonts w:ascii="Times New Roman" w:eastAsia="Times New Roman" w:hAnsi="Times New Roman" w:cs="Times New Roman"/>
          <w:sz w:val="28"/>
          <w:szCs w:val="28"/>
          <w:lang w:val="en-US"/>
        </w:rPr>
        <w:t>k</w:t>
      </w:r>
      <w:r w:rsidRPr="007D12B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7D12BF">
        <w:rPr>
          <w:rFonts w:ascii="Times New Roman" w:eastAsia="Times New Roman" w:hAnsi="Times New Roman" w:cs="Times New Roman"/>
          <w:sz w:val="28"/>
          <w:szCs w:val="28"/>
        </w:rPr>
        <w:t>– коэффициент сложности управления финансами (далее – коэффициент сложности) равен 1;</w:t>
      </w:r>
    </w:p>
    <w:p w:rsidR="0032750C" w:rsidRPr="007D12BF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D12BF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r w:rsidRPr="007D12B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gramStart"/>
      <w:r w:rsidRPr="007D12BF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proofErr w:type="gramEnd"/>
      <w:r w:rsidRPr="007D12BF">
        <w:rPr>
          <w:rFonts w:ascii="Times New Roman" w:eastAsia="Times New Roman" w:hAnsi="Times New Roman" w:cs="Times New Roman"/>
          <w:sz w:val="28"/>
          <w:szCs w:val="28"/>
        </w:rPr>
        <w:t xml:space="preserve"> показателей оценки качества.</w:t>
      </w:r>
    </w:p>
    <w:p w:rsidR="0032750C" w:rsidRPr="00693994" w:rsidRDefault="0032750C" w:rsidP="00186E7F">
      <w:pPr>
        <w:ind w:firstLine="709"/>
        <w:rPr>
          <w:b/>
        </w:rPr>
      </w:pPr>
      <w:proofErr w:type="spellStart"/>
      <w:r w:rsidRPr="006939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=</w:t>
      </w:r>
      <w:r w:rsidR="00186E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59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*1=</w:t>
      </w:r>
      <w:r w:rsidR="00186E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59</w:t>
      </w:r>
    </w:p>
    <w:p w:rsidR="0032750C" w:rsidRPr="00FD01E4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D01E4">
        <w:rPr>
          <w:rFonts w:ascii="Times New Roman" w:eastAsia="Times New Roman" w:hAnsi="Times New Roman" w:cs="Times New Roman"/>
          <w:b/>
          <w:sz w:val="28"/>
          <w:szCs w:val="28"/>
        </w:rPr>
        <w:t>Рейтинговая оценка качества определяется по формуле:</w:t>
      </w:r>
    </w:p>
    <w:p w:rsidR="0032750C" w:rsidRPr="00FD01E4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2750C" w:rsidRPr="00B30A14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sSubPr>
          <m:e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R</m:t>
            </m:r>
          </m:e>
          <m:sub>
            <w:proofErr w:type="spellStart"/>
            <m:r>
              <m:rPr>
                <m:nor/>
              </m:rP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m:t>i</m:t>
            </m:r>
            <w:proofErr w:type="spellEnd"/>
          </m:sub>
        </m:sSub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w:proofErr w:type="spellStart"/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i</m:t>
                </m:r>
                <w:proofErr w:type="spellEnd"/>
              </m:sub>
            </m:sSub>
          </m:num>
          <m:den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O</m:t>
                </m:r>
              </m:e>
              <m:sub>
                <m:r>
                  <m:rPr>
                    <m:nor/>
                  </m:rPr>
                  <w:rPr>
                    <w:rFonts w:ascii="Times New Roman" w:eastAsia="Times New Roman" w:hAnsi="Times New Roman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den>
        </m:f>
        <m:r>
          <m:rPr>
            <m:nor/>
          </m:rPr>
          <w:rPr>
            <w:rFonts w:ascii="Times New Roman" w:eastAsia="Times New Roman" w:hAnsi="Times New Roman" w:cs="Times New Roman"/>
            <w:sz w:val="28"/>
            <w:szCs w:val="28"/>
            <w:lang w:val="en-US"/>
          </w:rPr>
          <m:t>×100,</m:t>
        </m:r>
      </m:oMath>
      <w:r w:rsidRPr="00B30A14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B30A14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</w:p>
    <w:p w:rsidR="0032750C" w:rsidRPr="00B30A14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32750C" w:rsidRPr="00B30A14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30A14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30A14">
        <w:rPr>
          <w:rFonts w:ascii="Times New Roman" w:eastAsia="Times New Roman" w:hAnsi="Times New Roman" w:cs="Times New Roman"/>
          <w:sz w:val="28"/>
          <w:szCs w:val="28"/>
        </w:rPr>
        <w:t xml:space="preserve"> – рейтинговая оценка качества ГАБС;</w:t>
      </w:r>
    </w:p>
    <w:p w:rsidR="0032750C" w:rsidRPr="00B30A14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30A1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proofErr w:type="spellEnd"/>
      <w:r w:rsidRPr="00B30A14">
        <w:rPr>
          <w:rFonts w:ascii="Times New Roman" w:eastAsia="Times New Roman" w:hAnsi="Times New Roman" w:cs="Times New Roman"/>
          <w:sz w:val="28"/>
          <w:szCs w:val="28"/>
        </w:rPr>
        <w:t>– оценка качества ГАБС;</w:t>
      </w:r>
    </w:p>
    <w:p w:rsidR="0032750C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B30A14">
        <w:rPr>
          <w:rFonts w:ascii="Times New Roman" w:eastAsia="Times New Roman" w:hAnsi="Times New Roman" w:cs="Times New Roman"/>
          <w:sz w:val="28"/>
          <w:szCs w:val="28"/>
          <w:lang w:val="en-US"/>
        </w:rPr>
        <w:t>O</w:t>
      </w:r>
      <w:r w:rsidRPr="00B30A14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max</w:t>
      </w:r>
      <w:proofErr w:type="spellEnd"/>
      <w:r w:rsidRPr="00B30A14">
        <w:rPr>
          <w:rFonts w:ascii="Times New Roman" w:eastAsia="Times New Roman" w:hAnsi="Times New Roman" w:cs="Times New Roman"/>
          <w:sz w:val="28"/>
          <w:szCs w:val="28"/>
        </w:rPr>
        <w:t xml:space="preserve"> – максимально возможное количество баллов, которое может получить ГАБС за оценку качества.</w:t>
      </w:r>
      <w:proofErr w:type="gramEnd"/>
    </w:p>
    <w:p w:rsidR="0032750C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2750C" w:rsidRPr="00693994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</w:pPr>
      <w:proofErr w:type="spellStart"/>
      <w:r w:rsidRPr="006939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proofErr w:type="spellEnd"/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=</w:t>
      </w:r>
      <w:r w:rsidR="00186E7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59</w:t>
      </w:r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/</w:t>
      </w:r>
      <w:r w:rsidR="001C645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69</w:t>
      </w:r>
      <w:proofErr w:type="gramStart"/>
      <w:r w:rsidR="001C645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,9</w:t>
      </w:r>
      <w:proofErr w:type="gramEnd"/>
      <w:r w:rsidRPr="00693994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*100=</w:t>
      </w:r>
      <w:r w:rsidR="001C645F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84</w:t>
      </w:r>
    </w:p>
    <w:p w:rsidR="0032750C" w:rsidRPr="00FD01E4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2750C" w:rsidRPr="002F1813" w:rsidRDefault="0032750C" w:rsidP="0032750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F1813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качества финансового менеджмента в Администрации МО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Лабазинский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составил </w:t>
      </w:r>
      <w:r w:rsidR="001C645F"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Pr="002F1813">
        <w:rPr>
          <w:rFonts w:ascii="Times New Roman" w:eastAsia="Times New Roman" w:hAnsi="Times New Roman" w:cs="Times New Roman"/>
          <w:b/>
          <w:sz w:val="28"/>
          <w:szCs w:val="28"/>
        </w:rPr>
        <w:t>% и означает хороший уровень.</w:t>
      </w:r>
    </w:p>
    <w:p w:rsidR="0032750C" w:rsidRDefault="0032750C" w:rsidP="0032750C"/>
    <w:p w:rsidR="0032750C" w:rsidRPr="00287456" w:rsidRDefault="0032750C" w:rsidP="0032750C">
      <w:pPr>
        <w:rPr>
          <w:rFonts w:ascii="Times New Roman" w:hAnsi="Times New Roman" w:cs="Times New Roman"/>
          <w:sz w:val="24"/>
        </w:rPr>
      </w:pPr>
      <w:r w:rsidRPr="00287456">
        <w:rPr>
          <w:rFonts w:ascii="Times New Roman" w:hAnsi="Times New Roman" w:cs="Times New Roman"/>
          <w:sz w:val="24"/>
        </w:rPr>
        <w:t>Исполнитель: ведущий бухгалтер  С.В. Борисова</w:t>
      </w:r>
    </w:p>
    <w:sectPr w:rsidR="0032750C" w:rsidRPr="00287456" w:rsidSect="001C53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32750C"/>
    <w:rsid w:val="000D1B9C"/>
    <w:rsid w:val="000F6CE9"/>
    <w:rsid w:val="00136B1A"/>
    <w:rsid w:val="00186E7F"/>
    <w:rsid w:val="001C645F"/>
    <w:rsid w:val="002114F1"/>
    <w:rsid w:val="00215899"/>
    <w:rsid w:val="0032750C"/>
    <w:rsid w:val="0040565B"/>
    <w:rsid w:val="004368F1"/>
    <w:rsid w:val="00525C62"/>
    <w:rsid w:val="00701B0C"/>
    <w:rsid w:val="007338E5"/>
    <w:rsid w:val="0082377E"/>
    <w:rsid w:val="009B2DE9"/>
    <w:rsid w:val="009E4822"/>
    <w:rsid w:val="00A662AF"/>
    <w:rsid w:val="00B7072C"/>
    <w:rsid w:val="00E41735"/>
    <w:rsid w:val="00F94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5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2750C"/>
    <w:rPr>
      <w:rFonts w:ascii="Times New Roman" w:eastAsiaTheme="minorHAnsi" w:hAnsi="Times New Roman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2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5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4CF25BD20103C3E247B077BAA9DBF753F0E8C9DC53A55B35759D953E676F40EC4729EE69F4D3F041B8FD0243A7B6C9537AE3F8C1F08DA2Eg7H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1588</Words>
  <Characters>9057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2023-02-15T05:36:00Z</dcterms:created>
  <dcterms:modified xsi:type="dcterms:W3CDTF">2023-02-15T07:35:00Z</dcterms:modified>
</cp:coreProperties>
</file>